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4059"/>
        <w:gridCol w:w="2303"/>
        <w:gridCol w:w="3276"/>
      </w:tblGrid>
      <w:tr w:rsidR="006958B2" w:rsidRPr="00B053F0" w:rsidTr="006958B2">
        <w:trPr>
          <w:trHeight w:val="381"/>
        </w:trPr>
        <w:tc>
          <w:tcPr>
            <w:tcW w:w="4152" w:type="dxa"/>
          </w:tcPr>
          <w:p w:rsidR="006958B2" w:rsidRPr="00B053F0" w:rsidRDefault="004157AB" w:rsidP="0058432E">
            <w:r w:rsidRPr="00B053F0">
              <w:t>_____________________202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B053F0">
              <w:rPr>
                <w:sz w:val="28"/>
              </w:rPr>
              <w:t>№</w:t>
            </w:r>
            <w:r w:rsidR="0023570D" w:rsidRPr="00B053F0">
              <w:rPr>
                <w:sz w:val="28"/>
              </w:rPr>
              <w:t xml:space="preserve"> </w:t>
            </w:r>
            <w:r w:rsidR="00C3580A" w:rsidRPr="00B053F0">
              <w:rPr>
                <w:sz w:val="28"/>
              </w:rPr>
              <w:t>_____</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4157AB" w:rsidRDefault="00AC7812" w:rsidP="00AC7812">
      <w:pPr>
        <w:autoSpaceDE w:val="0"/>
        <w:autoSpaceDN w:val="0"/>
        <w:adjustRightInd w:val="0"/>
        <w:ind w:firstLine="708"/>
        <w:jc w:val="center"/>
      </w:pPr>
      <w:r w:rsidRPr="00AC7812">
        <w:t>О внесении изменений в постановление администрации города Кедрового от 30.12.2015 №621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муниципального образования «Город Кедровый», в том числе подведомственных им казенных и бюджетных учреждений</w:t>
      </w:r>
    </w:p>
    <w:p w:rsidR="00AC7812" w:rsidRDefault="00AC7812" w:rsidP="00AC7812">
      <w:pPr>
        <w:autoSpaceDE w:val="0"/>
        <w:autoSpaceDN w:val="0"/>
        <w:adjustRightInd w:val="0"/>
        <w:ind w:firstLine="708"/>
        <w:jc w:val="center"/>
      </w:pPr>
    </w:p>
    <w:p w:rsidR="004D63B0" w:rsidRPr="004D63B0" w:rsidRDefault="004D63B0" w:rsidP="004D63B0">
      <w:pPr>
        <w:autoSpaceDE w:val="0"/>
        <w:autoSpaceDN w:val="0"/>
        <w:adjustRightInd w:val="0"/>
        <w:ind w:firstLine="709"/>
        <w:jc w:val="both"/>
        <w:rPr>
          <w:lang w:eastAsia="en-US"/>
        </w:rPr>
      </w:pPr>
      <w:r w:rsidRPr="004D63B0">
        <w:rPr>
          <w:lang w:eastAsia="en-US"/>
        </w:rPr>
        <w:t>В целях приведения в соответствие с действующим законодательством</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2A0E62">
      <w:pPr>
        <w:ind w:right="262" w:firstLine="709"/>
        <w:jc w:val="center"/>
      </w:pPr>
      <w:r>
        <w:t>ПОСТАНОВЛЯ</w:t>
      </w:r>
      <w:r w:rsidR="001939F9">
        <w:t>ЕТ</w:t>
      </w:r>
      <w:r>
        <w:t>:</w:t>
      </w:r>
    </w:p>
    <w:p w:rsidR="002A0E62" w:rsidRDefault="002A0E62" w:rsidP="002A0E62">
      <w:pPr>
        <w:ind w:firstLine="709"/>
        <w:jc w:val="both"/>
      </w:pPr>
    </w:p>
    <w:p w:rsidR="00163BAB" w:rsidRDefault="00CE0196" w:rsidP="002A0E62">
      <w:pPr>
        <w:ind w:firstLine="709"/>
        <w:jc w:val="both"/>
        <w:rPr>
          <w:lang w:eastAsia="en-US"/>
        </w:rPr>
      </w:pPr>
      <w:r w:rsidRPr="00C9283D">
        <w:t>1.</w:t>
      </w:r>
      <w:r w:rsidR="004157AB" w:rsidRPr="004157AB">
        <w:t xml:space="preserve"> </w:t>
      </w:r>
      <w:r w:rsidR="00163BAB">
        <w:rPr>
          <w:lang w:eastAsia="en-US"/>
        </w:rPr>
        <w:t>Внести изменения в постановление администрации города Кедрового от 30.12.2015 №621 «Об утверждении Правил определения требований к закупаемым органами местного самоуправления муниципального образования «Город Кедровый» и подведомственными им казенными и бюджетными учреждениями отдельным видам товаров, работ, услуг (в том числе предельные цены товаров, работ, услуг)» (далее - Постановление):</w:t>
      </w:r>
    </w:p>
    <w:p w:rsidR="004157AB" w:rsidRPr="00C90E17" w:rsidRDefault="00163BAB" w:rsidP="00163BAB">
      <w:pPr>
        <w:ind w:firstLine="709"/>
        <w:jc w:val="both"/>
      </w:pPr>
      <w:r>
        <w:rPr>
          <w:lang w:eastAsia="en-US"/>
        </w:rPr>
        <w:t>1) приложение №2 «Правила 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муниципального образования «Город Кедровый», в том числе подведомственных им казенных и бюджетных учреждений» Постановления изложить в новой редакции, согласно приложению</w:t>
      </w:r>
      <w:r w:rsidR="007E3287">
        <w:rPr>
          <w:lang w:eastAsia="en-US"/>
        </w:rPr>
        <w:t>.</w:t>
      </w:r>
    </w:p>
    <w:p w:rsidR="004068E1" w:rsidRPr="004068E1" w:rsidRDefault="004068E1" w:rsidP="004068E1">
      <w:pPr>
        <w:ind w:firstLine="709"/>
        <w:jc w:val="both"/>
      </w:pPr>
      <w:r w:rsidRPr="004068E1">
        <w:t>2. Постановление вступает в силу со</w:t>
      </w:r>
      <w:r w:rsidR="007E3287">
        <w:t xml:space="preserve"> дня официального опубликования</w:t>
      </w:r>
      <w:r w:rsidRPr="004068E1">
        <w:t>.</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DF082D" w:rsidRDefault="00DF082D" w:rsidP="00C61611">
      <w:pPr>
        <w:jc w:val="center"/>
        <w:rPr>
          <w:b/>
        </w:rPr>
      </w:pPr>
    </w:p>
    <w:p w:rsidR="00163BAB" w:rsidRDefault="00163BAB"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p w:rsidR="00977B35" w:rsidRDefault="00977B35" w:rsidP="00977B35">
      <w:pPr>
        <w:pStyle w:val="a3"/>
        <w:jc w:val="right"/>
        <w:rPr>
          <w:color w:val="000000"/>
          <w:sz w:val="24"/>
          <w:szCs w:val="24"/>
        </w:rPr>
        <w:sectPr w:rsidR="00977B35" w:rsidSect="00905D23">
          <w:headerReference w:type="default" r:id="rId8"/>
          <w:pgSz w:w="11906" w:h="16838" w:code="9"/>
          <w:pgMar w:top="567" w:right="567" w:bottom="1134" w:left="1701" w:header="709" w:footer="709" w:gutter="0"/>
          <w:cols w:space="708"/>
          <w:titlePg/>
          <w:docGrid w:linePitch="360"/>
        </w:sectPr>
      </w:pPr>
    </w:p>
    <w:p w:rsidR="00977B35" w:rsidRPr="00977B35" w:rsidRDefault="00977B35" w:rsidP="00977B35">
      <w:pPr>
        <w:pStyle w:val="a3"/>
        <w:jc w:val="right"/>
        <w:rPr>
          <w:color w:val="000000"/>
          <w:sz w:val="24"/>
          <w:szCs w:val="24"/>
        </w:rPr>
      </w:pPr>
      <w:r w:rsidRPr="00977B35">
        <w:rPr>
          <w:color w:val="000000"/>
          <w:sz w:val="24"/>
          <w:szCs w:val="24"/>
        </w:rPr>
        <w:lastRenderedPageBreak/>
        <w:t>П</w:t>
      </w:r>
      <w:bookmarkStart w:id="0" w:name="_GoBack"/>
      <w:bookmarkEnd w:id="0"/>
      <w:r w:rsidRPr="00977B35">
        <w:rPr>
          <w:color w:val="000000"/>
          <w:sz w:val="24"/>
          <w:szCs w:val="24"/>
        </w:rPr>
        <w:t>риложение</w:t>
      </w:r>
    </w:p>
    <w:p w:rsidR="00977B35" w:rsidRPr="00977B35" w:rsidRDefault="00977B35" w:rsidP="00977B35">
      <w:pPr>
        <w:pStyle w:val="a3"/>
        <w:jc w:val="right"/>
        <w:rPr>
          <w:color w:val="000000"/>
          <w:sz w:val="24"/>
          <w:szCs w:val="24"/>
        </w:rPr>
      </w:pPr>
      <w:r w:rsidRPr="00977B35">
        <w:rPr>
          <w:color w:val="000000"/>
          <w:sz w:val="24"/>
          <w:szCs w:val="24"/>
        </w:rPr>
        <w:t>Утверждено постановлением</w:t>
      </w:r>
    </w:p>
    <w:p w:rsidR="00977B35" w:rsidRPr="00977B35" w:rsidRDefault="00977B35" w:rsidP="00977B35">
      <w:pPr>
        <w:pStyle w:val="a3"/>
        <w:jc w:val="right"/>
        <w:rPr>
          <w:color w:val="000000"/>
          <w:sz w:val="24"/>
          <w:szCs w:val="24"/>
        </w:rPr>
      </w:pPr>
      <w:r w:rsidRPr="00977B35">
        <w:rPr>
          <w:color w:val="000000"/>
          <w:sz w:val="24"/>
          <w:szCs w:val="24"/>
        </w:rPr>
        <w:t>администрации города Кедрового</w:t>
      </w:r>
    </w:p>
    <w:p w:rsidR="00977B35" w:rsidRDefault="00977B35" w:rsidP="00977B35">
      <w:pPr>
        <w:pStyle w:val="a3"/>
        <w:jc w:val="right"/>
        <w:rPr>
          <w:color w:val="000000"/>
          <w:sz w:val="24"/>
          <w:szCs w:val="24"/>
        </w:rPr>
      </w:pPr>
      <w:r w:rsidRPr="00977B35">
        <w:rPr>
          <w:color w:val="000000"/>
          <w:sz w:val="24"/>
          <w:szCs w:val="24"/>
        </w:rPr>
        <w:t>№____от «____» ___________ 2024</w:t>
      </w:r>
    </w:p>
    <w:p w:rsidR="00977B35" w:rsidRDefault="00977B35" w:rsidP="00977B35">
      <w:pPr>
        <w:pStyle w:val="a3"/>
        <w:jc w:val="right"/>
        <w:rPr>
          <w:color w:val="000000"/>
          <w:sz w:val="24"/>
          <w:szCs w:val="24"/>
        </w:rPr>
      </w:pPr>
    </w:p>
    <w:p w:rsidR="00977B35" w:rsidRPr="00977B35" w:rsidRDefault="00977B35" w:rsidP="00977B35">
      <w:pPr>
        <w:pStyle w:val="a3"/>
        <w:jc w:val="right"/>
        <w:rPr>
          <w:color w:val="000000"/>
          <w:sz w:val="24"/>
          <w:szCs w:val="24"/>
        </w:rPr>
      </w:pPr>
      <w:r w:rsidRPr="00977B35">
        <w:rPr>
          <w:color w:val="000000"/>
          <w:sz w:val="24"/>
          <w:szCs w:val="24"/>
        </w:rPr>
        <w:t>Приложение № 2</w:t>
      </w:r>
    </w:p>
    <w:p w:rsidR="00977B35" w:rsidRPr="00977B35" w:rsidRDefault="00977B35" w:rsidP="00977B35">
      <w:pPr>
        <w:pStyle w:val="a3"/>
        <w:jc w:val="right"/>
        <w:rPr>
          <w:color w:val="000000"/>
          <w:sz w:val="24"/>
          <w:szCs w:val="24"/>
        </w:rPr>
      </w:pPr>
      <w:r w:rsidRPr="00977B35">
        <w:rPr>
          <w:color w:val="000000"/>
          <w:sz w:val="24"/>
          <w:szCs w:val="24"/>
        </w:rPr>
        <w:t xml:space="preserve">к Правилам определения требований к закупаемым заказчиками </w:t>
      </w:r>
    </w:p>
    <w:p w:rsidR="00977B35" w:rsidRPr="00977B35" w:rsidRDefault="00977B35" w:rsidP="00977B35">
      <w:pPr>
        <w:pStyle w:val="a3"/>
        <w:jc w:val="right"/>
        <w:rPr>
          <w:color w:val="000000"/>
          <w:sz w:val="24"/>
          <w:szCs w:val="24"/>
        </w:rPr>
      </w:pPr>
      <w:r w:rsidRPr="00977B35">
        <w:rPr>
          <w:color w:val="000000"/>
          <w:sz w:val="24"/>
          <w:szCs w:val="24"/>
        </w:rPr>
        <w:t xml:space="preserve">отдельным видам товаров, работ, услуг </w:t>
      </w:r>
    </w:p>
    <w:p w:rsidR="00977B35" w:rsidRPr="00977B35" w:rsidRDefault="00977B35" w:rsidP="00977B35">
      <w:pPr>
        <w:pStyle w:val="a3"/>
        <w:jc w:val="right"/>
        <w:rPr>
          <w:color w:val="000000"/>
          <w:sz w:val="24"/>
          <w:szCs w:val="24"/>
        </w:rPr>
      </w:pPr>
      <w:r w:rsidRPr="00977B35">
        <w:rPr>
          <w:color w:val="000000"/>
          <w:sz w:val="24"/>
          <w:szCs w:val="24"/>
        </w:rPr>
        <w:t>(в том числе предельных цен товаров, работ, услуг) для обеспечения</w:t>
      </w:r>
    </w:p>
    <w:p w:rsidR="00977B35" w:rsidRPr="00977B35" w:rsidRDefault="00977B35" w:rsidP="00977B35">
      <w:pPr>
        <w:pStyle w:val="a3"/>
        <w:jc w:val="right"/>
        <w:rPr>
          <w:color w:val="000000"/>
          <w:sz w:val="24"/>
          <w:szCs w:val="24"/>
        </w:rPr>
      </w:pPr>
      <w:r w:rsidRPr="00977B35">
        <w:rPr>
          <w:color w:val="000000"/>
          <w:sz w:val="24"/>
          <w:szCs w:val="24"/>
        </w:rPr>
        <w:t xml:space="preserve">муниципальных нужд органов местного самоуправления </w:t>
      </w:r>
    </w:p>
    <w:p w:rsidR="00977B35" w:rsidRPr="00977B35" w:rsidRDefault="00977B35" w:rsidP="00977B35">
      <w:pPr>
        <w:pStyle w:val="a3"/>
        <w:jc w:val="right"/>
        <w:rPr>
          <w:color w:val="000000"/>
          <w:sz w:val="24"/>
          <w:szCs w:val="24"/>
        </w:rPr>
      </w:pPr>
      <w:r w:rsidRPr="00977B35">
        <w:rPr>
          <w:color w:val="000000"/>
          <w:sz w:val="24"/>
          <w:szCs w:val="24"/>
        </w:rPr>
        <w:t>муниципального образования «Город Кедровый»,</w:t>
      </w:r>
    </w:p>
    <w:p w:rsidR="00977B35" w:rsidRPr="00977B35" w:rsidRDefault="00977B35" w:rsidP="00977B35">
      <w:pPr>
        <w:pStyle w:val="a3"/>
        <w:jc w:val="right"/>
        <w:rPr>
          <w:color w:val="000000"/>
          <w:sz w:val="24"/>
          <w:szCs w:val="24"/>
        </w:rPr>
      </w:pPr>
      <w:r w:rsidRPr="00977B35">
        <w:rPr>
          <w:color w:val="000000"/>
          <w:sz w:val="24"/>
          <w:szCs w:val="24"/>
        </w:rPr>
        <w:t xml:space="preserve"> в том числе подведомственных им</w:t>
      </w:r>
    </w:p>
    <w:p w:rsidR="00977B35" w:rsidRDefault="00977B35" w:rsidP="00977B35">
      <w:pPr>
        <w:pStyle w:val="a3"/>
        <w:jc w:val="right"/>
        <w:rPr>
          <w:color w:val="000000"/>
          <w:sz w:val="24"/>
          <w:szCs w:val="24"/>
        </w:rPr>
      </w:pPr>
      <w:r w:rsidRPr="00977B35">
        <w:rPr>
          <w:color w:val="000000"/>
          <w:sz w:val="24"/>
          <w:szCs w:val="24"/>
        </w:rPr>
        <w:t xml:space="preserve"> казенных и бюджетных учреждений.</w:t>
      </w:r>
    </w:p>
    <w:p w:rsidR="00977B35" w:rsidRDefault="00977B35" w:rsidP="00977B35">
      <w:pPr>
        <w:pStyle w:val="a3"/>
        <w:jc w:val="right"/>
        <w:rPr>
          <w:color w:val="000000"/>
          <w:sz w:val="24"/>
          <w:szCs w:val="24"/>
        </w:rPr>
      </w:pPr>
    </w:p>
    <w:p w:rsidR="00977B35" w:rsidRDefault="00977B35" w:rsidP="00977B35">
      <w:pPr>
        <w:pStyle w:val="a3"/>
        <w:jc w:val="left"/>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899"/>
        <w:gridCol w:w="1588"/>
        <w:gridCol w:w="1495"/>
        <w:gridCol w:w="708"/>
        <w:gridCol w:w="1007"/>
        <w:gridCol w:w="1292"/>
        <w:gridCol w:w="1292"/>
        <w:gridCol w:w="1289"/>
        <w:gridCol w:w="1289"/>
        <w:gridCol w:w="1289"/>
        <w:gridCol w:w="1289"/>
        <w:gridCol w:w="1304"/>
      </w:tblGrid>
      <w:tr w:rsidR="00977B35" w:rsidRPr="00977B35" w:rsidTr="00DB69FA">
        <w:trPr>
          <w:trHeight w:val="51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N п/п</w:t>
            </w:r>
          </w:p>
        </w:tc>
        <w:tc>
          <w:tcPr>
            <w:tcW w:w="297" w:type="pct"/>
            <w:vMerge w:val="restart"/>
            <w:shd w:val="clear" w:color="auto" w:fill="auto"/>
            <w:vAlign w:val="center"/>
            <w:hideMark/>
          </w:tcPr>
          <w:p w:rsidR="00977B35" w:rsidRPr="00977B35" w:rsidRDefault="00977B35" w:rsidP="00977B35">
            <w:pPr>
              <w:jc w:val="center"/>
              <w:rPr>
                <w:color w:val="0563C1"/>
                <w:sz w:val="20"/>
                <w:szCs w:val="20"/>
                <w:u w:val="single"/>
              </w:rPr>
            </w:pPr>
            <w:hyperlink r:id="rId9" w:tooltip="&quot;ОК 034-2014 (КПЕС 2008). Общероссийский классификатор продукции по видам экономической деятельности&quot; (утв. Приказом Росстандарта от 31.01.2014 N 14-ст) (ред. от 17.08.2015){КонсультантПлюс}" w:history="1">
              <w:r w:rsidRPr="00977B35">
                <w:rPr>
                  <w:color w:val="0563C1"/>
                  <w:sz w:val="20"/>
                  <w:szCs w:val="20"/>
                  <w:u w:val="single"/>
                </w:rPr>
                <w:t>Код по ОКПД2</w:t>
              </w:r>
            </w:hyperlink>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Наименование отдельного вида товаров, работ, услуг</w:t>
            </w:r>
          </w:p>
        </w:tc>
        <w:tc>
          <w:tcPr>
            <w:tcW w:w="4050" w:type="pct"/>
            <w:gridSpan w:val="10"/>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характеристика</w:t>
            </w:r>
          </w:p>
        </w:tc>
        <w:tc>
          <w:tcPr>
            <w:tcW w:w="567" w:type="pct"/>
            <w:gridSpan w:val="2"/>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единица измерения</w:t>
            </w:r>
          </w:p>
        </w:tc>
        <w:tc>
          <w:tcPr>
            <w:tcW w:w="2988" w:type="pct"/>
            <w:gridSpan w:val="7"/>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значение характеристики</w:t>
            </w:r>
          </w:p>
        </w:tc>
      </w:tr>
      <w:tr w:rsidR="00977B35" w:rsidRPr="00977B35" w:rsidTr="00DB69FA">
        <w:trPr>
          <w:trHeight w:val="18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vMerge/>
            <w:vAlign w:val="center"/>
            <w:hideMark/>
          </w:tcPr>
          <w:p w:rsidR="00977B35" w:rsidRPr="00977B35" w:rsidRDefault="00977B35" w:rsidP="00977B35">
            <w:pPr>
              <w:rPr>
                <w:color w:val="000000"/>
                <w:sz w:val="20"/>
                <w:szCs w:val="20"/>
              </w:rPr>
            </w:pP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7B35">
                <w:rPr>
                  <w:color w:val="0563C1"/>
                  <w:sz w:val="20"/>
                  <w:szCs w:val="20"/>
                  <w:u w:val="single"/>
                </w:rPr>
                <w:t>код по ОКЕИ</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наименование</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Глава администрации</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Высшая группа должностей (кроме Главы администрации)</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Главная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Ведущая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Старшая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Младшая группа должностей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Должности не муниципальной службы</w:t>
            </w:r>
          </w:p>
        </w:tc>
      </w:tr>
      <w:tr w:rsidR="00977B35" w:rsidRPr="00977B35" w:rsidTr="00DB69FA">
        <w:trPr>
          <w:trHeight w:val="124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w:t>
            </w:r>
          </w:p>
        </w:tc>
        <w:tc>
          <w:tcPr>
            <w:tcW w:w="297" w:type="pct"/>
            <w:vMerge w:val="restart"/>
            <w:shd w:val="clear" w:color="auto" w:fill="auto"/>
            <w:vAlign w:val="center"/>
            <w:hideMark/>
          </w:tcPr>
          <w:p w:rsidR="00977B35" w:rsidRPr="00977B35" w:rsidRDefault="00977B35" w:rsidP="00977B35">
            <w:pPr>
              <w:jc w:val="center"/>
              <w:rPr>
                <w:color w:val="0563C1"/>
                <w:sz w:val="20"/>
                <w:szCs w:val="20"/>
                <w:u w:val="single"/>
              </w:rPr>
            </w:pPr>
            <w:hyperlink r:id="rId11" w:history="1">
              <w:r w:rsidRPr="00977B35">
                <w:rPr>
                  <w:color w:val="0563C1"/>
                  <w:sz w:val="20"/>
                  <w:szCs w:val="20"/>
                  <w:u w:val="single"/>
                </w:rPr>
                <w:t>26.20.11</w:t>
              </w:r>
            </w:hyperlink>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Ноутбуки</w:t>
            </w:r>
          </w:p>
        </w:tc>
      </w:tr>
      <w:tr w:rsidR="00977B35" w:rsidRPr="00977B35" w:rsidTr="00DB69FA">
        <w:trPr>
          <w:trHeight w:val="124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продукции: ноутбуки, планшетные компьютеры</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размер экрана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2931</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видеоадаптера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Предельное значение - </w:t>
            </w:r>
            <w:proofErr w:type="spellStart"/>
            <w:r w:rsidRPr="00977B35">
              <w:rPr>
                <w:color w:val="000000"/>
                <w:sz w:val="20"/>
                <w:szCs w:val="20"/>
              </w:rPr>
              <w:t>нтегрированный</w:t>
            </w:r>
            <w:proofErr w:type="spellEnd"/>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операционная система,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Планшетные компьютеры</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экрана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2931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70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w:t>
            </w:r>
          </w:p>
        </w:tc>
        <w:tc>
          <w:tcPr>
            <w:tcW w:w="297" w:type="pct"/>
            <w:vMerge w:val="restart"/>
            <w:shd w:val="clear" w:color="auto" w:fill="auto"/>
            <w:vAlign w:val="center"/>
            <w:hideMark/>
          </w:tcPr>
          <w:p w:rsidR="00977B35" w:rsidRPr="00977B35" w:rsidRDefault="00977B35" w:rsidP="00977B35">
            <w:pPr>
              <w:jc w:val="center"/>
              <w:rPr>
                <w:color w:val="0563C1"/>
                <w:sz w:val="20"/>
                <w:szCs w:val="20"/>
                <w:u w:val="single"/>
              </w:rPr>
            </w:pPr>
            <w:hyperlink r:id="rId12" w:history="1">
              <w:r w:rsidRPr="00977B35">
                <w:rPr>
                  <w:color w:val="0563C1"/>
                  <w:sz w:val="20"/>
                  <w:szCs w:val="20"/>
                  <w:u w:val="single"/>
                </w:rPr>
                <w:t>26.20.15</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w:t>
            </w:r>
            <w:r w:rsidRPr="00977B35">
              <w:rPr>
                <w:color w:val="000000"/>
                <w:sz w:val="20"/>
                <w:szCs w:val="20"/>
              </w:rPr>
              <w:lastRenderedPageBreak/>
              <w:t>персональные настольные, рабочие станции вывода</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lastRenderedPageBreak/>
              <w:t>Тип (моноблок/системный блок и монитор)</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экрана/монитора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2941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видеоадаптера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Дискретный*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операционная система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26.20.16</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Многофункциональные устройства</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печати (струйный/лазерный)</w:t>
            </w:r>
          </w:p>
        </w:tc>
        <w:tc>
          <w:tcPr>
            <w:tcW w:w="234"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7"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9"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tcBorders>
              <w:right w:val="single" w:sz="4" w:space="0" w:color="auto"/>
            </w:tcBorders>
            <w:vAlign w:val="center"/>
            <w:hideMark/>
          </w:tcPr>
          <w:p w:rsidR="00977B35" w:rsidRPr="00977B35" w:rsidRDefault="00977B35" w:rsidP="00977B35">
            <w:pPr>
              <w:rPr>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пиксель</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93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7"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9"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324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наличие дополнительных модулей и интерфейсов (сетевой интерфейс, устройства чтения карт памяти и т.д.)</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модуль двусторонней печати, сетевой интерфейс, дополнительный лоток бумаги, почтовый ящик, </w:t>
            </w:r>
            <w:proofErr w:type="spellStart"/>
            <w:r w:rsidRPr="00977B35">
              <w:rPr>
                <w:color w:val="000000"/>
                <w:sz w:val="20"/>
                <w:szCs w:val="20"/>
              </w:rPr>
              <w:t>брошюратор</w:t>
            </w:r>
            <w:proofErr w:type="spellEnd"/>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150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Принтеры</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печати (струйный/лазерный)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250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200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Сканеры</w:t>
            </w:r>
          </w:p>
        </w:tc>
      </w:tr>
      <w:tr w:rsidR="00977B35" w:rsidRPr="00977B35" w:rsidTr="008E09C8">
        <w:trPr>
          <w:trHeight w:val="73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подачи бумаги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потоковый, </w:t>
            </w:r>
            <w:r w:rsidRPr="00977B35">
              <w:rPr>
                <w:color w:val="000000"/>
                <w:sz w:val="20"/>
                <w:szCs w:val="20"/>
              </w:rPr>
              <w:lastRenderedPageBreak/>
              <w:t>бесконтактный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lastRenderedPageBreak/>
              <w:t>предельное значение - потоковый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пиксель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значение-цветной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r>
      <w:tr w:rsidR="00977B35" w:rsidRPr="00977B35" w:rsidTr="00DB69FA">
        <w:trPr>
          <w:trHeight w:val="154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4.</w:t>
            </w:r>
          </w:p>
        </w:tc>
        <w:tc>
          <w:tcPr>
            <w:tcW w:w="297" w:type="pct"/>
            <w:vMerge w:val="restart"/>
            <w:shd w:val="clear" w:color="auto" w:fill="auto"/>
            <w:vAlign w:val="center"/>
            <w:hideMark/>
          </w:tcPr>
          <w:p w:rsidR="00977B35" w:rsidRPr="00977B35" w:rsidRDefault="00977B35" w:rsidP="00977B35">
            <w:pPr>
              <w:jc w:val="center"/>
              <w:rPr>
                <w:color w:val="0563C1"/>
                <w:sz w:val="20"/>
                <w:szCs w:val="20"/>
                <w:u w:val="single"/>
              </w:rPr>
            </w:pPr>
            <w:hyperlink r:id="rId13" w:history="1">
              <w:r w:rsidRPr="00977B35">
                <w:rPr>
                  <w:color w:val="0563C1"/>
                  <w:sz w:val="20"/>
                  <w:szCs w:val="20"/>
                  <w:u w:val="single"/>
                </w:rPr>
                <w:t>26.30.11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Аппаратура коммуникационная передающая с приемными устройствами. Пояснения по требуемой продукции: телефоны мобильные</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устройства (телефон/смарт фон)</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поддерживаемые стандарты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9" w:type="pct"/>
            <w:vMerge/>
            <w:vAlign w:val="center"/>
            <w:hideMark/>
          </w:tcPr>
          <w:p w:rsidR="00977B35" w:rsidRPr="00977B35" w:rsidRDefault="00977B35" w:rsidP="00977B35">
            <w:pPr>
              <w:rPr>
                <w:color w:val="000000"/>
                <w:sz w:val="20"/>
                <w:szCs w:val="20"/>
              </w:rPr>
            </w:pPr>
          </w:p>
        </w:tc>
      </w:tr>
      <w:tr w:rsidR="00977B35" w:rsidRPr="00977B35" w:rsidTr="008E09C8">
        <w:trPr>
          <w:trHeight w:val="3908"/>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не более 15 </w:t>
            </w:r>
            <w:proofErr w:type="spellStart"/>
            <w:r w:rsidRPr="00977B35">
              <w:rPr>
                <w:color w:val="000000"/>
                <w:sz w:val="20"/>
                <w:szCs w:val="20"/>
              </w:rPr>
              <w:t>тыс</w:t>
            </w:r>
            <w:proofErr w:type="spellEnd"/>
            <w:r w:rsidRPr="00977B35">
              <w:rPr>
                <w:color w:val="000000"/>
                <w:sz w:val="20"/>
                <w:szCs w:val="20"/>
              </w:rPr>
              <w:t>, в случае пребывания указанных лиц в служебных командировках за пределами Томской области - не более 4 тыс. в месяц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в случае пребывания указанных лиц в служебных командировках за пределами Томской области - не более 4 тыс. в месяц</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5.</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29.10.2002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Автомобили легковые</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2 500 000,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2 000 000, рублей.</w:t>
            </w: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1 500 000, рублей.</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8E09C8">
        <w:trPr>
          <w:trHeight w:val="1412"/>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6.</w:t>
            </w:r>
          </w:p>
        </w:tc>
        <w:tc>
          <w:tcPr>
            <w:tcW w:w="297" w:type="pct"/>
            <w:vMerge w:val="restart"/>
            <w:shd w:val="clear" w:color="auto" w:fill="auto"/>
            <w:vAlign w:val="center"/>
            <w:hideMark/>
          </w:tcPr>
          <w:p w:rsidR="00977B35" w:rsidRPr="00977B35" w:rsidRDefault="00977B35" w:rsidP="00977B35">
            <w:pPr>
              <w:jc w:val="right"/>
              <w:rPr>
                <w:color w:val="0563C1"/>
                <w:sz w:val="20"/>
                <w:szCs w:val="20"/>
                <w:u w:val="single"/>
              </w:rPr>
            </w:pPr>
            <w:hyperlink r:id="rId14" w:history="1">
              <w:r w:rsidRPr="00977B35">
                <w:rPr>
                  <w:color w:val="0563C1"/>
                  <w:sz w:val="20"/>
                  <w:szCs w:val="20"/>
                  <w:u w:val="single"/>
                </w:rPr>
                <w:t>29.10.2021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транспортные с двигателем с искровым зажиганием, с рабочим объемом цилиндров не более 1500 см</w:t>
            </w:r>
            <w:r w:rsidRPr="00977B35">
              <w:rPr>
                <w:color w:val="000000"/>
                <w:sz w:val="20"/>
                <w:szCs w:val="20"/>
                <w:vertAlign w:val="superscript"/>
              </w:rPr>
              <w:t>3</w:t>
            </w:r>
            <w:r w:rsidRPr="00977B35">
              <w:rPr>
                <w:color w:val="000000"/>
                <w:sz w:val="20"/>
                <w:szCs w:val="20"/>
              </w:rPr>
              <w:t>,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15"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16" w:history="1">
              <w:r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E09C8">
        <w:trPr>
          <w:trHeight w:val="1129"/>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7.</w:t>
            </w:r>
          </w:p>
        </w:tc>
        <w:tc>
          <w:tcPr>
            <w:tcW w:w="297" w:type="pct"/>
            <w:vMerge w:val="restart"/>
            <w:shd w:val="clear" w:color="auto" w:fill="auto"/>
            <w:vAlign w:val="center"/>
            <w:hideMark/>
          </w:tcPr>
          <w:p w:rsidR="00977B35" w:rsidRPr="00977B35" w:rsidRDefault="00977B35" w:rsidP="00977B35">
            <w:pPr>
              <w:jc w:val="right"/>
              <w:rPr>
                <w:color w:val="0563C1"/>
                <w:sz w:val="20"/>
                <w:szCs w:val="20"/>
                <w:u w:val="single"/>
              </w:rPr>
            </w:pPr>
            <w:hyperlink r:id="rId17" w:history="1">
              <w:r w:rsidRPr="00977B35">
                <w:rPr>
                  <w:color w:val="0563C1"/>
                  <w:sz w:val="20"/>
                  <w:szCs w:val="20"/>
                  <w:u w:val="single"/>
                </w:rPr>
                <w:t>29.10.2022</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Средства транспортные с двигателем с искровым зажиганием, с рабочим объемом </w:t>
            </w:r>
            <w:r w:rsidRPr="00977B35">
              <w:rPr>
                <w:color w:val="000000"/>
                <w:sz w:val="20"/>
                <w:szCs w:val="20"/>
              </w:rPr>
              <w:lastRenderedPageBreak/>
              <w:t>цилиндров более 1500 см</w:t>
            </w:r>
            <w:r w:rsidRPr="00977B35">
              <w:rPr>
                <w:color w:val="000000"/>
                <w:sz w:val="20"/>
                <w:szCs w:val="20"/>
                <w:vertAlign w:val="superscript"/>
              </w:rPr>
              <w:t>3</w:t>
            </w:r>
            <w:r w:rsidRPr="00977B35">
              <w:rPr>
                <w:color w:val="000000"/>
                <w:sz w:val="20"/>
                <w:szCs w:val="20"/>
              </w:rPr>
              <w:t>,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мощность двигателя</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18"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19" w:history="1">
              <w:r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E09C8">
        <w:trPr>
          <w:trHeight w:val="1374"/>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8.</w:t>
            </w:r>
          </w:p>
        </w:tc>
        <w:tc>
          <w:tcPr>
            <w:tcW w:w="297" w:type="pct"/>
            <w:vMerge w:val="restart"/>
            <w:shd w:val="clear" w:color="auto" w:fill="auto"/>
            <w:vAlign w:val="center"/>
            <w:hideMark/>
          </w:tcPr>
          <w:p w:rsidR="00977B35" w:rsidRPr="00977B35" w:rsidRDefault="00977B35" w:rsidP="00977B35">
            <w:pPr>
              <w:jc w:val="right"/>
              <w:rPr>
                <w:color w:val="0563C1"/>
                <w:sz w:val="20"/>
                <w:szCs w:val="20"/>
                <w:u w:val="single"/>
              </w:rPr>
            </w:pPr>
            <w:hyperlink r:id="rId20" w:history="1">
              <w:r w:rsidRPr="00977B35">
                <w:rPr>
                  <w:color w:val="0563C1"/>
                  <w:sz w:val="20"/>
                  <w:szCs w:val="20"/>
                  <w:u w:val="single"/>
                </w:rPr>
                <w:t>29.10.2023</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Средства транспортные с поршневым двигателем внутреннего сгорания с воспламенением от сжатия (дизелем или </w:t>
            </w:r>
            <w:proofErr w:type="spellStart"/>
            <w:r w:rsidRPr="00977B35">
              <w:rPr>
                <w:color w:val="000000"/>
                <w:sz w:val="20"/>
                <w:szCs w:val="20"/>
              </w:rPr>
              <w:t>полудизелем</w:t>
            </w:r>
            <w:proofErr w:type="spellEnd"/>
            <w:r w:rsidRPr="00977B35">
              <w:rPr>
                <w:color w:val="000000"/>
                <w:sz w:val="20"/>
                <w:szCs w:val="20"/>
              </w:rPr>
              <w:t>),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21"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22" w:history="1">
              <w:r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78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9.</w:t>
            </w:r>
          </w:p>
        </w:tc>
        <w:tc>
          <w:tcPr>
            <w:tcW w:w="297" w:type="pct"/>
            <w:vMerge w:val="restart"/>
            <w:shd w:val="clear" w:color="auto" w:fill="auto"/>
            <w:vAlign w:val="center"/>
            <w:hideMark/>
          </w:tcPr>
          <w:p w:rsidR="00977B35" w:rsidRPr="00977B35" w:rsidRDefault="00977B35" w:rsidP="00977B35">
            <w:pPr>
              <w:jc w:val="right"/>
              <w:rPr>
                <w:color w:val="0563C1"/>
                <w:sz w:val="20"/>
                <w:szCs w:val="20"/>
                <w:u w:val="single"/>
              </w:rPr>
            </w:pPr>
            <w:hyperlink r:id="rId23" w:history="1">
              <w:r w:rsidRPr="00977B35">
                <w:rPr>
                  <w:color w:val="0563C1"/>
                  <w:sz w:val="20"/>
                  <w:szCs w:val="20"/>
                  <w:u w:val="single"/>
                </w:rPr>
                <w:t>29.10.2024</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для перевозки людей прочие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24"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25" w:history="1">
              <w:r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26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10.</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29.10.1930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для перевозки 10 или более человек</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200,0</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200,0</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4 500 000,0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3 000 000,0 рублей</w:t>
            </w: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2 000 000, рублей.</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1035"/>
        </w:trPr>
        <w:tc>
          <w:tcPr>
            <w:tcW w:w="128"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11.</w:t>
            </w:r>
          </w:p>
        </w:tc>
        <w:tc>
          <w:tcPr>
            <w:tcW w:w="29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29.10.2004</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грузовые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5 000 000,0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12.</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31.01.11.150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Мебель для сидения, преимущественно с </w:t>
            </w:r>
            <w:r w:rsidRPr="00977B35">
              <w:rPr>
                <w:color w:val="000000"/>
                <w:sz w:val="20"/>
                <w:szCs w:val="20"/>
              </w:rPr>
              <w:lastRenderedPageBreak/>
              <w:t>металлическим каркасом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материал (металл)</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r>
      <w:tr w:rsidR="00977B35" w:rsidRPr="00977B35" w:rsidTr="008E09C8">
        <w:trPr>
          <w:trHeight w:val="435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обивочные материалы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ткань; возможные значения: нетканые материалы</w:t>
            </w:r>
          </w:p>
        </w:tc>
      </w:tr>
      <w:tr w:rsidR="00977B35" w:rsidRPr="00977B35" w:rsidTr="008E09C8">
        <w:trPr>
          <w:trHeight w:val="127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13.</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36.11.12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Мебель для сидения с деревянным каркасом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r>
      <w:tr w:rsidR="00977B35" w:rsidRPr="00977B35" w:rsidTr="00287E66">
        <w:trPr>
          <w:trHeight w:val="3538"/>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материал (вид древесины)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 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r>
      <w:tr w:rsidR="00977B35" w:rsidRPr="00977B35" w:rsidTr="00DB69FA">
        <w:trPr>
          <w:trHeight w:val="70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vMerge/>
            <w:vAlign w:val="center"/>
            <w:hideMark/>
          </w:tcPr>
          <w:p w:rsidR="00977B35" w:rsidRPr="00977B35" w:rsidRDefault="00977B35" w:rsidP="00977B35">
            <w:pPr>
              <w:rPr>
                <w:color w:val="000000"/>
                <w:sz w:val="20"/>
                <w:szCs w:val="20"/>
              </w:rPr>
            </w:pP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287E66">
        <w:trPr>
          <w:trHeight w:val="410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обивочные материалы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ткань; возможные значения: нетканые материалы</w:t>
            </w:r>
          </w:p>
        </w:tc>
      </w:tr>
      <w:tr w:rsidR="00977B35" w:rsidRPr="00977B35" w:rsidTr="00DB69FA">
        <w:trPr>
          <w:trHeight w:val="1035"/>
        </w:trPr>
        <w:tc>
          <w:tcPr>
            <w:tcW w:w="128"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14.</w:t>
            </w:r>
          </w:p>
        </w:tc>
        <w:tc>
          <w:tcPr>
            <w:tcW w:w="29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31.01.2011</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Мебель металлическая для офисов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(металл)</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(металл)</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r>
      <w:tr w:rsidR="00977B35" w:rsidRPr="00977B35" w:rsidTr="00287E66">
        <w:trPr>
          <w:trHeight w:val="1554"/>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15.</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36.12.12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Мебель деревянная для офисов, административных помещений, </w:t>
            </w:r>
            <w:r w:rsidRPr="00977B35">
              <w:rPr>
                <w:color w:val="000000"/>
                <w:sz w:val="20"/>
                <w:szCs w:val="20"/>
              </w:rPr>
              <w:lastRenderedPageBreak/>
              <w:t>учебных заведений, учреждений культуры.</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35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r>
      <w:tr w:rsidR="00977B35" w:rsidRPr="00977B35" w:rsidTr="00DB69FA">
        <w:trPr>
          <w:trHeight w:val="63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(вид древесины)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proofErr w:type="gramStart"/>
            <w:r w:rsidRPr="00977B35">
              <w:rPr>
                <w:color w:val="000000"/>
                <w:sz w:val="20"/>
                <w:szCs w:val="20"/>
              </w:rPr>
              <w:t>.Предельное</w:t>
            </w:r>
            <w:proofErr w:type="gramEnd"/>
            <w:r w:rsidRPr="00977B35">
              <w:rPr>
                <w:color w:val="000000"/>
                <w:sz w:val="20"/>
                <w:szCs w:val="20"/>
              </w:rPr>
              <w:t xml:space="preserve">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 Предельное значение - древесина хвойных и </w:t>
            </w:r>
            <w:proofErr w:type="spellStart"/>
            <w:r w:rsidRPr="00977B35">
              <w:rPr>
                <w:color w:val="000000"/>
                <w:sz w:val="20"/>
                <w:szCs w:val="20"/>
              </w:rPr>
              <w:t>мягколиственных</w:t>
            </w:r>
            <w:proofErr w:type="spellEnd"/>
            <w:r w:rsidRPr="00977B35">
              <w:rPr>
                <w:color w:val="000000"/>
                <w:sz w:val="20"/>
                <w:szCs w:val="20"/>
              </w:rPr>
              <w:t xml:space="preserve"> пород: береза, лиственница, сосна, ель</w:t>
            </w:r>
          </w:p>
        </w:tc>
      </w:tr>
      <w:tr w:rsidR="00977B35" w:rsidRPr="00977B35" w:rsidTr="00287E66">
        <w:trPr>
          <w:trHeight w:val="169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16.</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17.12.14.110</w:t>
            </w:r>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Бумага для печати. Пояснения по требуемой продукции: бумага листовая для ежедневной печати на офисной технике формата А4</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класс</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яркость</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744</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белизна </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744</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r>
      <w:tr w:rsidR="00977B35" w:rsidRPr="00977B35" w:rsidTr="00DB69FA">
        <w:trPr>
          <w:trHeight w:val="103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17.</w:t>
            </w:r>
          </w:p>
        </w:tc>
        <w:tc>
          <w:tcPr>
            <w:tcW w:w="297" w:type="pct"/>
            <w:vMerge w:val="restart"/>
            <w:shd w:val="clear" w:color="auto" w:fill="auto"/>
            <w:vAlign w:val="center"/>
            <w:hideMark/>
          </w:tcPr>
          <w:p w:rsidR="00977B35" w:rsidRPr="00977B35" w:rsidRDefault="00977B35" w:rsidP="00977B35">
            <w:pPr>
              <w:rPr>
                <w:color w:val="0563C1"/>
                <w:sz w:val="20"/>
                <w:szCs w:val="20"/>
                <w:u w:val="single"/>
              </w:rPr>
            </w:pPr>
            <w:hyperlink r:id="rId26" w:history="1">
              <w:r w:rsidRPr="00977B35">
                <w:rPr>
                  <w:color w:val="0563C1"/>
                  <w:sz w:val="20"/>
                  <w:szCs w:val="20"/>
                  <w:u w:val="single"/>
                </w:rPr>
                <w:t>49.32.11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такси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977B35" w:rsidP="00977B35">
            <w:pPr>
              <w:jc w:val="right"/>
              <w:rPr>
                <w:color w:val="0563C1"/>
                <w:sz w:val="20"/>
                <w:szCs w:val="20"/>
                <w:u w:val="single"/>
              </w:rPr>
            </w:pPr>
            <w:hyperlink r:id="rId27"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r>
      <w:tr w:rsidR="00977B35" w:rsidRPr="00977B35" w:rsidTr="00287E66">
        <w:trPr>
          <w:trHeight w:val="417"/>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44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816"/>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время предоставления автомобиля потребителю</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18.</w:t>
            </w:r>
          </w:p>
        </w:tc>
        <w:tc>
          <w:tcPr>
            <w:tcW w:w="297" w:type="pct"/>
            <w:vMerge w:val="restart"/>
            <w:shd w:val="clear" w:color="auto" w:fill="auto"/>
            <w:vAlign w:val="center"/>
            <w:hideMark/>
          </w:tcPr>
          <w:p w:rsidR="00977B35" w:rsidRPr="00977B35" w:rsidRDefault="00977B35" w:rsidP="00977B35">
            <w:pPr>
              <w:rPr>
                <w:color w:val="0563C1"/>
                <w:sz w:val="20"/>
                <w:szCs w:val="20"/>
                <w:u w:val="single"/>
              </w:rPr>
            </w:pPr>
            <w:hyperlink r:id="rId28" w:history="1">
              <w:r w:rsidRPr="00977B35">
                <w:rPr>
                  <w:color w:val="0563C1"/>
                  <w:sz w:val="20"/>
                  <w:szCs w:val="20"/>
                  <w:u w:val="single"/>
                </w:rPr>
                <w:t>49.32.12</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аренде легковых автомобилей с водителем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977B35" w:rsidP="00977B35">
            <w:pPr>
              <w:jc w:val="right"/>
              <w:rPr>
                <w:color w:val="0563C1"/>
                <w:sz w:val="20"/>
                <w:szCs w:val="20"/>
                <w:u w:val="single"/>
              </w:rPr>
            </w:pPr>
            <w:hyperlink r:id="rId29"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56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время предоставления автомобиля потребителю</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30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19.</w:t>
            </w:r>
          </w:p>
        </w:tc>
        <w:tc>
          <w:tcPr>
            <w:tcW w:w="297" w:type="pct"/>
            <w:vMerge w:val="restart"/>
            <w:shd w:val="clear" w:color="auto" w:fill="auto"/>
            <w:vAlign w:val="center"/>
            <w:hideMark/>
          </w:tcPr>
          <w:p w:rsidR="00977B35" w:rsidRPr="00977B35" w:rsidRDefault="00977B35" w:rsidP="00977B35">
            <w:pPr>
              <w:rPr>
                <w:color w:val="0563C1"/>
                <w:sz w:val="20"/>
                <w:szCs w:val="20"/>
                <w:u w:val="single"/>
              </w:rPr>
            </w:pPr>
            <w:hyperlink r:id="rId30" w:history="1">
              <w:r w:rsidRPr="00977B35">
                <w:rPr>
                  <w:color w:val="0563C1"/>
                  <w:sz w:val="20"/>
                  <w:szCs w:val="20"/>
                  <w:u w:val="single"/>
                </w:rPr>
                <w:t>77.11.10</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977B35" w:rsidP="00977B35">
            <w:pPr>
              <w:jc w:val="center"/>
              <w:rPr>
                <w:color w:val="0563C1"/>
                <w:sz w:val="20"/>
                <w:szCs w:val="20"/>
                <w:u w:val="single"/>
              </w:rPr>
            </w:pPr>
            <w:hyperlink r:id="rId31" w:history="1">
              <w:r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 автомобиля</w:t>
            </w:r>
          </w:p>
        </w:tc>
        <w:tc>
          <w:tcPr>
            <w:tcW w:w="234"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657"/>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по аренде и лизингу легких (до 3,5 т) автотранспортных средств без водителя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75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20.</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61.10.30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скорость канала передачи данных</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15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доля потерянных пакетов</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8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335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21</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61.20.11</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подвижной связи общего пользования - обеспечение доступа и поддержка пользователя.</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тарификация услуги голосовой связи, доступа в информационно-телекоммуникационную сеть "Интернет" (лимитная/</w:t>
            </w:r>
            <w:proofErr w:type="spellStart"/>
            <w:r w:rsidRPr="00977B35">
              <w:rPr>
                <w:color w:val="000000"/>
                <w:sz w:val="20"/>
                <w:szCs w:val="20"/>
              </w:rPr>
              <w:t>безлимитная</w:t>
            </w:r>
            <w:proofErr w:type="spellEnd"/>
            <w:r w:rsidRPr="00977B35">
              <w:rPr>
                <w:color w:val="000000"/>
                <w:sz w:val="20"/>
                <w:szCs w:val="20"/>
              </w:rPr>
              <w:t>)</w:t>
            </w:r>
          </w:p>
        </w:tc>
        <w:tc>
          <w:tcPr>
            <w:tcW w:w="23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23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Пояснения по требуемым услугам: оказание услуг подвижной радиотелефонной связи</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25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объем доступной услуги голосовой связи (минут), доступа в информационно-телекоммуникационную сеть "Интернет" (Гб)</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435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r>
      <w:tr w:rsidR="00977B35" w:rsidRPr="00977B35" w:rsidTr="00DB69FA">
        <w:trPr>
          <w:trHeight w:val="900"/>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22</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61.20.30</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передаче данных по беспроводным телекоммуникационным сетям.</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услуге:</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ноутбуков</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6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планшетных компьютеров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900"/>
        </w:trPr>
        <w:tc>
          <w:tcPr>
            <w:tcW w:w="128"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23</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61.20.42</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широкополосному доступу к информационно-коммуникационной сети "Интернет" по беспроводным сетям.</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услуге:</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услуга связи для ноутбуков</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планшетных компьютеров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421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24</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58.29.13</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1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25</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58.29.21</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совместимость с системами межведомственного электронного документооборота (МЭДО) (да/нет)</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поддерживаемые типы данных, текстовые и графические возможности приложения</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7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563C1"/>
                <w:sz w:val="20"/>
                <w:szCs w:val="20"/>
                <w:u w:val="single"/>
              </w:rPr>
            </w:pPr>
            <w:hyperlink r:id="rId32" w:history="1">
              <w:r w:rsidRPr="00977B35">
                <w:rPr>
                  <w:color w:val="0563C1"/>
                  <w:sz w:val="20"/>
                  <w:szCs w:val="20"/>
                  <w:u w:val="single"/>
                </w:rPr>
                <w:t>соответствие Федеральному закону "О персональных данных" приложений, содержащих персональные данные (да/нет)</w:t>
              </w:r>
            </w:hyperlink>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56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26</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58.29.31</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использование российских </w:t>
            </w:r>
            <w:proofErr w:type="spellStart"/>
            <w:r w:rsidRPr="00977B35">
              <w:rPr>
                <w:color w:val="000000"/>
                <w:sz w:val="20"/>
                <w:szCs w:val="20"/>
              </w:rPr>
              <w:t>криптоалгоритмов</w:t>
            </w:r>
            <w:proofErr w:type="spellEnd"/>
            <w:r w:rsidRPr="00977B35">
              <w:rPr>
                <w:color w:val="000000"/>
                <w:sz w:val="20"/>
                <w:szCs w:val="20"/>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доступность на русском языке интерфейса конфигурирования средства информационной безопасности</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07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27</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58.29.32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прикладное для загрузки. Пояснения по требуемой продукции: системы управления процессами организации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115"/>
        </w:trPr>
        <w:tc>
          <w:tcPr>
            <w:tcW w:w="128" w:type="pc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lastRenderedPageBreak/>
              <w:t>28</w:t>
            </w:r>
          </w:p>
        </w:tc>
        <w:tc>
          <w:tcPr>
            <w:tcW w:w="29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61.90.10</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максимальная скорость соединения в информационно-телекоммуникационной сети "Интернет"</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bl>
    <w:p w:rsidR="00977B35" w:rsidRDefault="00977B35" w:rsidP="00977B35">
      <w:pPr>
        <w:pStyle w:val="a3"/>
        <w:jc w:val="right"/>
        <w:rPr>
          <w:color w:val="000000"/>
          <w:sz w:val="24"/>
          <w:szCs w:val="24"/>
        </w:rPr>
      </w:pPr>
    </w:p>
    <w:p w:rsidR="00977B35" w:rsidRDefault="00977B35" w:rsidP="00977B35">
      <w:pPr>
        <w:pStyle w:val="a3"/>
        <w:jc w:val="right"/>
        <w:rPr>
          <w:color w:val="000000"/>
          <w:sz w:val="24"/>
          <w:szCs w:val="24"/>
        </w:rPr>
      </w:pPr>
    </w:p>
    <w:p w:rsidR="00977B35" w:rsidRPr="00977B35" w:rsidRDefault="00977B35" w:rsidP="00977B35">
      <w:pPr>
        <w:pStyle w:val="a3"/>
        <w:jc w:val="right"/>
        <w:rPr>
          <w:color w:val="000000"/>
          <w:sz w:val="24"/>
          <w:szCs w:val="24"/>
        </w:rPr>
      </w:pPr>
    </w:p>
    <w:p w:rsidR="00977B35" w:rsidRDefault="00977B35" w:rsidP="00FC6EFF">
      <w:pPr>
        <w:pStyle w:val="a3"/>
        <w:jc w:val="both"/>
        <w:rPr>
          <w:color w:val="000000"/>
        </w:rPr>
        <w:sectPr w:rsidR="00977B35" w:rsidSect="002A0E62">
          <w:pgSz w:w="16838" w:h="11906" w:orient="landscape" w:code="9"/>
          <w:pgMar w:top="567" w:right="567" w:bottom="567" w:left="1134" w:header="709" w:footer="709" w:gutter="0"/>
          <w:cols w:space="708"/>
          <w:titlePg/>
          <w:docGrid w:linePitch="360"/>
        </w:sect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76879">
      <w:pPr>
        <w:pStyle w:val="1"/>
        <w:jc w:val="both"/>
        <w:rPr>
          <w:b w:val="0"/>
          <w:color w:val="000000"/>
          <w:sz w:val="24"/>
        </w:rPr>
      </w:pPr>
      <w:r>
        <w:rPr>
          <w:color w:val="000000"/>
          <w:sz w:val="24"/>
        </w:rPr>
        <w:t xml:space="preserve">Согласовано: </w:t>
      </w:r>
    </w:p>
    <w:p w:rsidR="00B80C0E" w:rsidRDefault="00B80C0E" w:rsidP="00F76879">
      <w:pPr>
        <w:jc w:val="both"/>
        <w:rPr>
          <w:color w:val="000000"/>
        </w:rPr>
      </w:pPr>
    </w:p>
    <w:p w:rsidR="00F76879" w:rsidRDefault="00F76879" w:rsidP="00F76879">
      <w:pPr>
        <w:jc w:val="both"/>
        <w:rPr>
          <w:color w:val="000000"/>
        </w:rPr>
      </w:pPr>
      <w:r>
        <w:rPr>
          <w:color w:val="000000"/>
        </w:rPr>
        <w:t>Заместитель Мэра по социальной политике</w:t>
      </w:r>
    </w:p>
    <w:p w:rsidR="00F76879" w:rsidRDefault="00F76879" w:rsidP="00F76879">
      <w:pPr>
        <w:jc w:val="both"/>
        <w:rPr>
          <w:color w:val="000000"/>
        </w:rPr>
      </w:pPr>
      <w:r>
        <w:rPr>
          <w:color w:val="000000"/>
        </w:rPr>
        <w:t>и управлению делами                                                                                                И.Н. Алексеева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r>
        <w:rPr>
          <w:color w:val="000000"/>
        </w:rPr>
        <w:t xml:space="preserve">Юрисконсульт Администрации </w:t>
      </w:r>
    </w:p>
    <w:p w:rsidR="00F76879" w:rsidRDefault="00F76879" w:rsidP="00F76879">
      <w:pPr>
        <w:jc w:val="both"/>
      </w:pPr>
      <w:r>
        <w:rPr>
          <w:color w:val="000000"/>
        </w:rPr>
        <w:t>города Кедрового                                                                                                       Т.А. Харенкова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F76879" w:rsidRDefault="00F76879" w:rsidP="00F76879">
      <w:pPr>
        <w:jc w:val="both"/>
        <w:rPr>
          <w:color w:val="000000"/>
        </w:rPr>
      </w:pPr>
      <w:r>
        <w:rPr>
          <w:color w:val="000000"/>
        </w:rPr>
        <w:t>Раздать:</w:t>
      </w:r>
    </w:p>
    <w:tbl>
      <w:tblPr>
        <w:tblW w:w="0" w:type="auto"/>
        <w:tblLayout w:type="fixed"/>
        <w:tblLook w:val="04A0" w:firstRow="1" w:lastRow="0" w:firstColumn="1" w:lastColumn="0" w:noHBand="0" w:noVBand="1"/>
      </w:tblPr>
      <w:tblGrid>
        <w:gridCol w:w="2802"/>
        <w:gridCol w:w="992"/>
      </w:tblGrid>
      <w:tr w:rsidR="00F76879" w:rsidTr="00986838">
        <w:tc>
          <w:tcPr>
            <w:tcW w:w="2802" w:type="dxa"/>
            <w:hideMark/>
          </w:tcPr>
          <w:p w:rsidR="00F76879" w:rsidRDefault="00F76879" w:rsidP="00986838">
            <w:pPr>
              <w:framePr w:hSpace="180" w:wrap="notBeside" w:vAnchor="text" w:hAnchor="margin" w:y="135"/>
              <w:jc w:val="both"/>
              <w:rPr>
                <w:color w:val="000000"/>
              </w:rPr>
            </w:pPr>
            <w:r>
              <w:rPr>
                <w:color w:val="000000"/>
              </w:rPr>
              <w:t>в дело</w:t>
            </w:r>
          </w:p>
        </w:tc>
        <w:tc>
          <w:tcPr>
            <w:tcW w:w="992" w:type="dxa"/>
            <w:hideMark/>
          </w:tcPr>
          <w:p w:rsidR="00F76879" w:rsidRDefault="00F76879" w:rsidP="00986838">
            <w:pPr>
              <w:framePr w:hSpace="180" w:wrap="notBeside" w:vAnchor="text" w:hAnchor="margin" w:y="135"/>
              <w:jc w:val="both"/>
              <w:rPr>
                <w:color w:val="000000"/>
              </w:rPr>
            </w:pPr>
            <w:r>
              <w:rPr>
                <w:color w:val="000000"/>
              </w:rPr>
              <w:t>1 экз.</w:t>
            </w:r>
          </w:p>
        </w:tc>
      </w:tr>
    </w:tbl>
    <w:p w:rsidR="00F76879" w:rsidRDefault="00F76879" w:rsidP="00F76879">
      <w:pPr>
        <w:jc w:val="both"/>
        <w:rPr>
          <w:vanish/>
        </w:rPr>
      </w:pPr>
    </w:p>
    <w:tbl>
      <w:tblPr>
        <w:tblW w:w="0" w:type="auto"/>
        <w:tblLayout w:type="fixed"/>
        <w:tblLook w:val="04A0" w:firstRow="1" w:lastRow="0" w:firstColumn="1" w:lastColumn="0" w:noHBand="0" w:noVBand="1"/>
      </w:tblPr>
      <w:tblGrid>
        <w:gridCol w:w="2802"/>
        <w:gridCol w:w="992"/>
      </w:tblGrid>
      <w:tr w:rsidR="00F76879" w:rsidTr="00CE5A72">
        <w:tc>
          <w:tcPr>
            <w:tcW w:w="2802" w:type="dxa"/>
            <w:hideMark/>
          </w:tcPr>
          <w:p w:rsidR="00F76879" w:rsidRDefault="00F76879" w:rsidP="00986838">
            <w:pPr>
              <w:jc w:val="both"/>
              <w:rPr>
                <w:color w:val="000000"/>
              </w:rPr>
            </w:pPr>
            <w:r>
              <w:rPr>
                <w:color w:val="000000"/>
              </w:rPr>
              <w:t>ОМХ</w:t>
            </w:r>
          </w:p>
        </w:tc>
        <w:tc>
          <w:tcPr>
            <w:tcW w:w="992" w:type="dxa"/>
            <w:hideMark/>
          </w:tcPr>
          <w:p w:rsidR="00F76879" w:rsidRDefault="00CE5A72" w:rsidP="00986838">
            <w:pPr>
              <w:jc w:val="both"/>
            </w:pPr>
            <w:r>
              <w:t>1 экз.</w:t>
            </w:r>
          </w:p>
        </w:tc>
      </w:tr>
      <w:tr w:rsidR="00CE5A72" w:rsidTr="00CE5A72">
        <w:tc>
          <w:tcPr>
            <w:tcW w:w="2802" w:type="dxa"/>
          </w:tcPr>
          <w:p w:rsidR="00CE5A72" w:rsidRDefault="00CE5A72" w:rsidP="00986838">
            <w:pPr>
              <w:jc w:val="both"/>
              <w:rPr>
                <w:color w:val="000000"/>
              </w:rPr>
            </w:pPr>
          </w:p>
        </w:tc>
        <w:tc>
          <w:tcPr>
            <w:tcW w:w="992" w:type="dxa"/>
          </w:tcPr>
          <w:p w:rsidR="00CE5A72" w:rsidRDefault="00CE5A72" w:rsidP="00986838">
            <w:pPr>
              <w:jc w:val="both"/>
            </w:pPr>
          </w:p>
        </w:tc>
      </w:tr>
    </w:tbl>
    <w:p w:rsidR="00F76879" w:rsidRPr="00986838" w:rsidRDefault="00F76879" w:rsidP="00FC6EFF">
      <w:pPr>
        <w:pStyle w:val="a3"/>
        <w:jc w:val="both"/>
        <w:rPr>
          <w:sz w:val="24"/>
        </w:rPr>
      </w:pPr>
    </w:p>
    <w:sectPr w:rsidR="00F76879" w:rsidRPr="00986838" w:rsidSect="00905D23">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F8" w:rsidRDefault="005920F8" w:rsidP="00A64A9C">
      <w:r>
        <w:separator/>
      </w:r>
    </w:p>
  </w:endnote>
  <w:endnote w:type="continuationSeparator" w:id="0">
    <w:p w:rsidR="005920F8" w:rsidRDefault="005920F8"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F8" w:rsidRDefault="005920F8" w:rsidP="00A64A9C">
      <w:r>
        <w:separator/>
      </w:r>
    </w:p>
  </w:footnote>
  <w:footnote w:type="continuationSeparator" w:id="0">
    <w:p w:rsidR="005920F8" w:rsidRDefault="005920F8"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977B35" w:rsidRDefault="00977B35" w:rsidP="0081007D">
        <w:pPr>
          <w:pStyle w:val="a5"/>
          <w:jc w:val="center"/>
        </w:pPr>
        <w:r>
          <w:fldChar w:fldCharType="begin"/>
        </w:r>
        <w:r>
          <w:instrText>PAGE   \* MERGEFORMAT</w:instrText>
        </w:r>
        <w:r>
          <w:fldChar w:fldCharType="separate"/>
        </w:r>
        <w:r w:rsidR="002A0E62">
          <w:rPr>
            <w:noProof/>
          </w:rPr>
          <w:t>19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3BAB"/>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87E66"/>
    <w:rsid w:val="00290C0E"/>
    <w:rsid w:val="0029438E"/>
    <w:rsid w:val="00295A43"/>
    <w:rsid w:val="00296D79"/>
    <w:rsid w:val="002A0E62"/>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15E17"/>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8165B"/>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D63B0"/>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20F8"/>
    <w:rsid w:val="00597CAE"/>
    <w:rsid w:val="005A6E35"/>
    <w:rsid w:val="005A771D"/>
    <w:rsid w:val="005B2163"/>
    <w:rsid w:val="005B408C"/>
    <w:rsid w:val="005B5A08"/>
    <w:rsid w:val="005B69F2"/>
    <w:rsid w:val="005C28E9"/>
    <w:rsid w:val="005C3788"/>
    <w:rsid w:val="005C5B92"/>
    <w:rsid w:val="005D1506"/>
    <w:rsid w:val="005D15D3"/>
    <w:rsid w:val="005D162C"/>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3287"/>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2EBD"/>
    <w:rsid w:val="008B6653"/>
    <w:rsid w:val="008C5748"/>
    <w:rsid w:val="008C5873"/>
    <w:rsid w:val="008D252B"/>
    <w:rsid w:val="008D368F"/>
    <w:rsid w:val="008D6C4E"/>
    <w:rsid w:val="008E09C8"/>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70C01"/>
    <w:rsid w:val="00972FD3"/>
    <w:rsid w:val="009775D6"/>
    <w:rsid w:val="00977B35"/>
    <w:rsid w:val="00986838"/>
    <w:rsid w:val="0099041B"/>
    <w:rsid w:val="0099081A"/>
    <w:rsid w:val="0099312D"/>
    <w:rsid w:val="0099400B"/>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C7812"/>
    <w:rsid w:val="00AD384D"/>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1FB8"/>
    <w:rsid w:val="00C434C5"/>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6D07"/>
    <w:rsid w:val="00D3768E"/>
    <w:rsid w:val="00D41751"/>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103E"/>
    <w:rsid w:val="00D835C9"/>
    <w:rsid w:val="00D84ABD"/>
    <w:rsid w:val="00D971D5"/>
    <w:rsid w:val="00DA2F0C"/>
    <w:rsid w:val="00DA6479"/>
    <w:rsid w:val="00DB279E"/>
    <w:rsid w:val="00DB4048"/>
    <w:rsid w:val="00DB69FA"/>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104A2"/>
    <w:rsid w:val="00E20A68"/>
    <w:rsid w:val="00E34309"/>
    <w:rsid w:val="00E35D88"/>
    <w:rsid w:val="00E35DF1"/>
    <w:rsid w:val="00E36BFF"/>
    <w:rsid w:val="00E374B7"/>
    <w:rsid w:val="00E42FEB"/>
    <w:rsid w:val="00E461B6"/>
    <w:rsid w:val="00E4797E"/>
    <w:rsid w:val="00E5702D"/>
    <w:rsid w:val="00E70371"/>
    <w:rsid w:val="00E704B2"/>
    <w:rsid w:val="00E710E4"/>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05572333">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427158A7741671754BBAF839671EE3A38979205E0D341E025EF043F3B4BD6E65C62EA9DB3011053h5j3C" TargetMode="External"/><Relationship Id="rId18" Type="http://schemas.openxmlformats.org/officeDocument/2006/relationships/hyperlink" Target="consultantplus://offline/ref=8427158A7741671754BBAF839671EE3A38959C03E1D741E025EF043F3B4BD6E65C62EA9DB2081154h5j2C" TargetMode="External"/><Relationship Id="rId26" Type="http://schemas.openxmlformats.org/officeDocument/2006/relationships/hyperlink" Target="consultantplus://offline/ref=8427158A7741671754BBAF839671EE3A38979205E0D341E025EF043F3B4BD6E65C62EA9DB0011B5Ah5j7C" TargetMode="External"/><Relationship Id="rId3" Type="http://schemas.openxmlformats.org/officeDocument/2006/relationships/settings" Target="settings.xml"/><Relationship Id="rId21" Type="http://schemas.openxmlformats.org/officeDocument/2006/relationships/hyperlink" Target="consultantplus://offline/ref=8427158A7741671754BBAF839671EE3A38959C03E1D741E025EF043F3B4BD6E65C62EA9DB2081154h5j2C"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427158A7741671754BBAF839671EE3A38979205E0D341E025EF043F3B4BD6E65C62EA9DB3011151h5jDC" TargetMode="External"/><Relationship Id="rId17" Type="http://schemas.openxmlformats.org/officeDocument/2006/relationships/hyperlink" Target="consultantplus://offline/ref=8427158A7741671754BBAF839671EE3A38979205E0D341E025EF043F3B4BD6E65C62EA9DB00B1653h5j3C" TargetMode="External"/><Relationship Id="rId25" Type="http://schemas.openxmlformats.org/officeDocument/2006/relationships/hyperlink" Target="consultantplus://offline/ref=8427158A7741671754BBAF839671EE3A38959C03E1D741E025EF043F3B4BD6E65C62EA9DB208115Ah5j7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27158A7741671754BBAF839671EE3A38959C03E1D741E025EF043F3B4BD6E65C62EA9DB208115Ah5j7C" TargetMode="External"/><Relationship Id="rId20" Type="http://schemas.openxmlformats.org/officeDocument/2006/relationships/hyperlink" Target="consultantplus://offline/ref=8427158A7741671754BBAF839671EE3A38979205E0D341E025EF043F3B4BD6E65C62EA9DB00B1650h5j5C" TargetMode="External"/><Relationship Id="rId29" Type="http://schemas.openxmlformats.org/officeDocument/2006/relationships/hyperlink" Target="consultantplus://offline/ref=8427158A7741671754BBAF839671EE3A38959C03E1D741E025EF043F3B4BD6E65C62EA9DB2081154h5j2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427158A7741671754BBAF839671EE3A38979205E0D341E025EF043F3B4BD6E65C62EA9DB3011153h5jDC" TargetMode="External"/><Relationship Id="rId24" Type="http://schemas.openxmlformats.org/officeDocument/2006/relationships/hyperlink" Target="consultantplus://offline/ref=8427158A7741671754BBAF839671EE3A38959C03E1D741E025EF043F3B4BD6E65C62EA9DB2081154h5j2C" TargetMode="External"/><Relationship Id="rId32" Type="http://schemas.openxmlformats.org/officeDocument/2006/relationships/hyperlink" Target="https://login.consultant.ru/link/?req=doc&amp;base=LAW&amp;n=482686" TargetMode="External"/><Relationship Id="rId5" Type="http://schemas.openxmlformats.org/officeDocument/2006/relationships/footnotes" Target="footnotes.xml"/><Relationship Id="rId15" Type="http://schemas.openxmlformats.org/officeDocument/2006/relationships/hyperlink" Target="consultantplus://offline/ref=8427158A7741671754BBAF839671EE3A38959C03E1D741E025EF043F3B4BD6E65C62EA9DB2081154h5j2C" TargetMode="External"/><Relationship Id="rId23" Type="http://schemas.openxmlformats.org/officeDocument/2006/relationships/hyperlink" Target="consultantplus://offline/ref=8427158A7741671754BBAF839671EE3A38979205E0D341E025EF043F3B4BD6E65C62EA9DB00B1650h5j1C" TargetMode="External"/><Relationship Id="rId28" Type="http://schemas.openxmlformats.org/officeDocument/2006/relationships/hyperlink" Target="consultantplus://offline/ref=8427158A7741671754BBAF839671EE3A38979205E0D341E025EF043F3B4BD6E65C62EA9DB0011B5Ah5j3C" TargetMode="External"/><Relationship Id="rId10" Type="http://schemas.openxmlformats.org/officeDocument/2006/relationships/hyperlink" Target="consultantplus://offline/ref=A3CA0B0802627BCD50D7713EBFE00226CEA27EF04DAEB9DB12E25EFD80XB39I" TargetMode="External"/><Relationship Id="rId19" Type="http://schemas.openxmlformats.org/officeDocument/2006/relationships/hyperlink" Target="consultantplus://offline/ref=8427158A7741671754BBAF839671EE3A38959C03E1D741E025EF043F3B4BD6E65C62EA9DB208115Ah5j7C" TargetMode="External"/><Relationship Id="rId31" Type="http://schemas.openxmlformats.org/officeDocument/2006/relationships/hyperlink" Target="consultantplus://offline/ref=8427158A7741671754BBAF839671EE3A38959C03E1D741E025EF043F3B4BD6E65C62EA9DB2081154h5j2C" TargetMode="External"/><Relationship Id="rId4" Type="http://schemas.openxmlformats.org/officeDocument/2006/relationships/webSettings" Target="webSettings.xml"/><Relationship Id="rId9" Type="http://schemas.openxmlformats.org/officeDocument/2006/relationships/hyperlink" Target="consultantplus://offline/ref=A3CA0B0802627BCD50D7713EBFE00226CEAC70FC4EA3B9DB12E25EFD80XB39I" TargetMode="External"/><Relationship Id="rId14" Type="http://schemas.openxmlformats.org/officeDocument/2006/relationships/hyperlink" Target="consultantplus://offline/ref=8427158A7741671754BBAF839671EE3A38979205E0D341E025EF043F3B4BD6E65C62EA9DB00B1653h5j7C" TargetMode="External"/><Relationship Id="rId22" Type="http://schemas.openxmlformats.org/officeDocument/2006/relationships/hyperlink" Target="consultantplus://offline/ref=8427158A7741671754BBAF839671EE3A38959C03E1D741E025EF043F3B4BD6E65C62EA9DB208115Ah5j7C" TargetMode="External"/><Relationship Id="rId27" Type="http://schemas.openxmlformats.org/officeDocument/2006/relationships/hyperlink" Target="consultantplus://offline/ref=8427158A7741671754BBAF839671EE3A38959C03E1D741E025EF043F3B4BD6E65C62EA9DB2081154h5j2C" TargetMode="External"/><Relationship Id="rId30" Type="http://schemas.openxmlformats.org/officeDocument/2006/relationships/hyperlink" Target="consultantplus://offline/ref=8427158A7741671754BBAF839671EE3A38979205E0D341E025EF043F3B4BD6E65C62EA9DB10B135Ah5j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F772-B2FF-40D1-A34A-CD062FCC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4503</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30116</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2024-12-05T01:44:00Z</cp:lastPrinted>
  <dcterms:created xsi:type="dcterms:W3CDTF">2024-12-14T13:16:00Z</dcterms:created>
  <dcterms:modified xsi:type="dcterms:W3CDTF">2024-12-14T13:16:00Z</dcterms:modified>
</cp:coreProperties>
</file>